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E31D1" w:rsidP="00532E58">
      <w:pPr>
        <w:jc w:val="center"/>
        <w:rPr>
          <w:b/>
        </w:rPr>
      </w:pPr>
      <w:r>
        <w:rPr>
          <w:b/>
        </w:rPr>
        <w:t xml:space="preserve">North </w:t>
      </w:r>
      <w:r w:rsidR="00E47720">
        <w:rPr>
          <w:b/>
        </w:rPr>
        <w:t xml:space="preserve">Cascades </w:t>
      </w:r>
      <w:r w:rsidR="003D0FC3">
        <w:rPr>
          <w:b/>
        </w:rPr>
        <w:t>Alpine 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3D0FC3">
        <w:rPr>
          <w:b/>
          <w:sz w:val="24"/>
        </w:rPr>
        <w:t>Alpine Glacial Mountains</w:t>
      </w:r>
    </w:p>
    <w:p w:rsidR="00716953" w:rsidRDefault="00F80693" w:rsidP="00716953">
      <w:pPr>
        <w:spacing w:after="0"/>
        <w:rPr>
          <w:b/>
        </w:rPr>
      </w:pPr>
      <w:r>
        <w:rPr>
          <w:noProof/>
        </w:rPr>
        <w:drawing>
          <wp:inline distT="0" distB="0" distL="0" distR="0" wp14:anchorId="28498CAC" wp14:editId="28A65D01">
            <wp:extent cx="5151567" cy="38408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62E.tmp"/>
                    <pic:cNvPicPr/>
                  </pic:nvPicPr>
                  <pic:blipFill>
                    <a:blip r:embed="rId6">
                      <a:extLst>
                        <a:ext uri="{28A0092B-C50C-407E-A947-70E740481C1C}">
                          <a14:useLocalDpi xmlns:a14="http://schemas.microsoft.com/office/drawing/2010/main" val="0"/>
                        </a:ext>
                      </a:extLst>
                    </a:blip>
                    <a:stretch>
                      <a:fillRect/>
                    </a:stretch>
                  </pic:blipFill>
                  <pic:spPr>
                    <a:xfrm>
                      <a:off x="0" y="0"/>
                      <a:ext cx="5151567" cy="3840813"/>
                    </a:xfrm>
                    <a:prstGeom prst="rect">
                      <a:avLst/>
                    </a:prstGeom>
                  </pic:spPr>
                </pic:pic>
              </a:graphicData>
            </a:graphic>
          </wp:inline>
        </w:drawing>
      </w:r>
      <w:bookmarkStart w:id="0" w:name="_GoBack"/>
      <w:bookmarkEnd w:id="0"/>
    </w:p>
    <w:p w:rsidR="00AE405A" w:rsidRDefault="00AE405A" w:rsidP="00716953">
      <w:pPr>
        <w:spacing w:after="0" w:line="240" w:lineRule="auto"/>
      </w:pPr>
    </w:p>
    <w:p w:rsidR="003D0FC3" w:rsidRDefault="003D0FC3" w:rsidP="003D0FC3">
      <w:pPr>
        <w:spacing w:after="0"/>
      </w:pPr>
      <w:r w:rsidRPr="001F6766">
        <w:rPr>
          <w:b/>
        </w:rPr>
        <w:t xml:space="preserve">Alpine Glacial Mountains </w:t>
      </w:r>
      <w:r w:rsidRPr="001F6766">
        <w:t xml:space="preserve">are the mountaintops that were above the </w:t>
      </w:r>
      <w:r>
        <w:t xml:space="preserve">maximal depth </w:t>
      </w:r>
      <w:r w:rsidRPr="001F6766">
        <w:t xml:space="preserve">level but within the area covered by the Cordilleran </w:t>
      </w:r>
      <w:r>
        <w:t>C</w:t>
      </w:r>
      <w:r w:rsidRPr="001F6766">
        <w:t xml:space="preserve">ontinental </w:t>
      </w:r>
      <w:proofErr w:type="spellStart"/>
      <w:r>
        <w:t>Icesheet</w:t>
      </w:r>
      <w:proofErr w:type="spellEnd"/>
      <w:r>
        <w:t xml:space="preserve">.  </w:t>
      </w:r>
      <w:r w:rsidRPr="0094781B">
        <w:t xml:space="preserve">The terrain </w:t>
      </w:r>
      <w:r>
        <w:t>was carved by alpine glaciers</w:t>
      </w:r>
      <w:r w:rsidRPr="0094781B">
        <w:t xml:space="preserve"> is </w:t>
      </w:r>
      <w:r w:rsidRPr="0094781B">
        <w:lastRenderedPageBreak/>
        <w:t xml:space="preserve">glacially scoured, with hanging valleys, large U-shaped valleys, with vertical to near-vertical slopes </w:t>
      </w:r>
      <w:r>
        <w:t xml:space="preserve">and </w:t>
      </w:r>
      <w:r w:rsidRPr="0094781B">
        <w:t xml:space="preserve">bedrock common throughout. </w:t>
      </w:r>
    </w:p>
    <w:p w:rsidR="003D0FC3" w:rsidRDefault="003D0FC3" w:rsidP="003D0FC3">
      <w:pPr>
        <w:spacing w:after="0"/>
      </w:pPr>
    </w:p>
    <w:p w:rsidR="003D0FC3" w:rsidRDefault="003D0FC3" w:rsidP="003D0FC3">
      <w:pPr>
        <w:spacing w:after="0"/>
        <w:rPr>
          <w:b/>
          <w:color w:val="FF0000"/>
        </w:rPr>
      </w:pPr>
      <w:r>
        <w:t xml:space="preserve">Soils range from shallow soils to rock or exposed rock. In many locations ice has cleared out all sediment. </w:t>
      </w:r>
      <w:r w:rsidRPr="00763FAA">
        <w:t xml:space="preserve">Water routing across this </w:t>
      </w:r>
      <w:r>
        <w:t>Landform Association</w:t>
      </w:r>
      <w:r w:rsidRPr="00763FAA">
        <w:t xml:space="preserve"> is chiefly </w:t>
      </w:r>
      <w:proofErr w:type="spellStart"/>
      <w:r w:rsidRPr="00763FAA">
        <w:t>sheetwash</w:t>
      </w:r>
      <w:proofErr w:type="spellEnd"/>
      <w:r w:rsidRPr="00763FAA">
        <w:t xml:space="preserve"> that is slope dependent, with common ponds and lakes in low-lying areas.</w:t>
      </w:r>
      <w:r>
        <w:t xml:space="preserve"> Shallow glacial soils are droughty even in rainy areas. What keeps them from drying out is replenishment from precipitation. These landscapes are most vulnerable to climate change. With a reduction in precipitation the glacial soils behave like ones in arid climates.</w:t>
      </w:r>
    </w:p>
    <w:p w:rsidR="004B2F9E" w:rsidRDefault="004B2F9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D0FC3" w:rsidRDefault="003D0FC3" w:rsidP="00716953">
      <w:pPr>
        <w:spacing w:after="0"/>
      </w:pPr>
    </w:p>
    <w:p w:rsidR="00716953" w:rsidRDefault="003D0FC3" w:rsidP="00716953">
      <w:pPr>
        <w:spacing w:after="0"/>
      </w:pPr>
      <w:r>
        <w:rPr>
          <w:noProof/>
        </w:rPr>
        <w:drawing>
          <wp:inline distT="0" distB="0" distL="0" distR="0">
            <wp:extent cx="5943600" cy="1998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29.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998980"/>
                    </a:xfrm>
                    <a:prstGeom prst="rect">
                      <a:avLst/>
                    </a:prstGeom>
                  </pic:spPr>
                </pic:pic>
              </a:graphicData>
            </a:graphic>
          </wp:inline>
        </w:drawing>
      </w:r>
    </w:p>
    <w:p w:rsidR="00AE405A" w:rsidRDefault="00AE405A" w:rsidP="00716953">
      <w:pPr>
        <w:spacing w:after="0"/>
      </w:pPr>
    </w:p>
    <w:p w:rsidR="00716953" w:rsidRDefault="00716953" w:rsidP="00716953">
      <w:pPr>
        <w:spacing w:after="0"/>
        <w:rPr>
          <w:b/>
        </w:rPr>
      </w:pPr>
    </w:p>
    <w:p w:rsidR="003D0FC3" w:rsidRDefault="003D0FC3">
      <w:pPr>
        <w:rPr>
          <w:b/>
        </w:rPr>
      </w:pPr>
      <w:r>
        <w:rPr>
          <w:b/>
        </w:rPr>
        <w:br w:type="page"/>
      </w:r>
    </w:p>
    <w:p w:rsidR="00716953" w:rsidRDefault="00716953" w:rsidP="00716953">
      <w:pPr>
        <w:spacing w:after="0"/>
      </w:pPr>
      <w:r w:rsidRPr="00DB6508">
        <w:rPr>
          <w:b/>
        </w:rPr>
        <w:lastRenderedPageBreak/>
        <w:t>Climate:</w:t>
      </w:r>
      <w:r w:rsidRPr="00054B72">
        <w:t xml:space="preserve"> </w:t>
      </w:r>
    </w:p>
    <w:p w:rsidR="00F67B92" w:rsidRDefault="003D0FC3" w:rsidP="00716953">
      <w:pPr>
        <w:spacing w:after="0"/>
      </w:pPr>
      <w:r>
        <w:rPr>
          <w:noProof/>
        </w:rPr>
        <w:drawing>
          <wp:inline distT="0" distB="0" distL="0" distR="0">
            <wp:extent cx="5943600" cy="2458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EA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458085"/>
                    </a:xfrm>
                    <a:prstGeom prst="rect">
                      <a:avLst/>
                    </a:prstGeom>
                  </pic:spPr>
                </pic:pic>
              </a:graphicData>
            </a:graphic>
          </wp:inline>
        </w:drawing>
      </w:r>
    </w:p>
    <w:p w:rsidR="006D22D5" w:rsidRDefault="006D22D5"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9"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D126F"/>
    <w:rsid w:val="00123879"/>
    <w:rsid w:val="001F02C3"/>
    <w:rsid w:val="00206D91"/>
    <w:rsid w:val="00210030"/>
    <w:rsid w:val="00211BF7"/>
    <w:rsid w:val="0024725C"/>
    <w:rsid w:val="002622EF"/>
    <w:rsid w:val="00262B16"/>
    <w:rsid w:val="002F6F7B"/>
    <w:rsid w:val="00301E38"/>
    <w:rsid w:val="003568B6"/>
    <w:rsid w:val="003B6AB4"/>
    <w:rsid w:val="003D0FC3"/>
    <w:rsid w:val="004122F1"/>
    <w:rsid w:val="004248BE"/>
    <w:rsid w:val="004258B8"/>
    <w:rsid w:val="004B121A"/>
    <w:rsid w:val="004B2F9E"/>
    <w:rsid w:val="004E31D1"/>
    <w:rsid w:val="00532E58"/>
    <w:rsid w:val="00554290"/>
    <w:rsid w:val="00554BFE"/>
    <w:rsid w:val="00587AFC"/>
    <w:rsid w:val="005E78B8"/>
    <w:rsid w:val="00617BF2"/>
    <w:rsid w:val="00635C80"/>
    <w:rsid w:val="00666C1B"/>
    <w:rsid w:val="00677F71"/>
    <w:rsid w:val="006D1457"/>
    <w:rsid w:val="006D22D5"/>
    <w:rsid w:val="006E1DD6"/>
    <w:rsid w:val="006E51C0"/>
    <w:rsid w:val="006F76E6"/>
    <w:rsid w:val="00716953"/>
    <w:rsid w:val="00725766"/>
    <w:rsid w:val="007B4F2F"/>
    <w:rsid w:val="007C5A3C"/>
    <w:rsid w:val="007E57F8"/>
    <w:rsid w:val="008437FF"/>
    <w:rsid w:val="00863DAE"/>
    <w:rsid w:val="00875101"/>
    <w:rsid w:val="008A0F36"/>
    <w:rsid w:val="008B106B"/>
    <w:rsid w:val="009A26D6"/>
    <w:rsid w:val="00A03045"/>
    <w:rsid w:val="00AE405A"/>
    <w:rsid w:val="00B434E0"/>
    <w:rsid w:val="00B62F3C"/>
    <w:rsid w:val="00B7069D"/>
    <w:rsid w:val="00C2039D"/>
    <w:rsid w:val="00C24DEA"/>
    <w:rsid w:val="00D40AB2"/>
    <w:rsid w:val="00D676D5"/>
    <w:rsid w:val="00D779C4"/>
    <w:rsid w:val="00DB6508"/>
    <w:rsid w:val="00DE5FA7"/>
    <w:rsid w:val="00E47720"/>
    <w:rsid w:val="00E63841"/>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2016-01-25T01:24:00Z</dcterms:created>
  <dcterms:modified xsi:type="dcterms:W3CDTF">2016-01-25T01:35:00Z</dcterms:modified>
</cp:coreProperties>
</file>