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C3C9B" w:rsidP="00532E58">
      <w:pPr>
        <w:jc w:val="center"/>
        <w:rPr>
          <w:b/>
        </w:rPr>
      </w:pPr>
      <w:r>
        <w:rPr>
          <w:b/>
        </w:rPr>
        <w:t>Blue Mountain Meander Belts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C3C9B" w:rsidP="005E78B8">
      <w:pPr>
        <w:spacing w:after="0"/>
        <w:rPr>
          <w:b/>
          <w:sz w:val="24"/>
        </w:rPr>
      </w:pPr>
      <w:r>
        <w:rPr>
          <w:b/>
          <w:sz w:val="24"/>
        </w:rPr>
        <w:t>Meander Belts</w:t>
      </w:r>
    </w:p>
    <w:p w:rsidR="00716953" w:rsidRDefault="006C3C9B" w:rsidP="00716953">
      <w:pPr>
        <w:spacing w:after="0"/>
        <w:rPr>
          <w:b/>
        </w:rPr>
      </w:pPr>
      <w:r>
        <w:rPr>
          <w:noProof/>
        </w:rPr>
        <w:drawing>
          <wp:inline distT="0" distB="0" distL="0" distR="0" wp14:anchorId="54923046" wp14:editId="0752D343">
            <wp:extent cx="5943600" cy="326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F2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3900"/>
                    </a:xfrm>
                    <a:prstGeom prst="rect">
                      <a:avLst/>
                    </a:prstGeom>
                  </pic:spPr>
                </pic:pic>
              </a:graphicData>
            </a:graphic>
          </wp:inline>
        </w:drawing>
      </w:r>
    </w:p>
    <w:p w:rsidR="00DB6508" w:rsidRDefault="00DB6508" w:rsidP="00DB6508">
      <w:pPr>
        <w:spacing w:after="0"/>
        <w:rPr>
          <w:b/>
        </w:rPr>
      </w:pPr>
    </w:p>
    <w:p w:rsidR="006C3C9B" w:rsidRPr="00DF6CF2" w:rsidRDefault="006C3C9B" w:rsidP="006C3C9B">
      <w:pPr>
        <w:rPr>
          <w:rFonts w:ascii="Calibri" w:eastAsia="Times New Roman" w:hAnsi="Calibri" w:cs="Times New Roman"/>
          <w:color w:val="000000"/>
        </w:rPr>
      </w:pPr>
      <w:r w:rsidRPr="00450E76">
        <w:rPr>
          <w:rFonts w:ascii="Calibri" w:eastAsia="Times New Roman" w:hAnsi="Calibri" w:cs="Times New Roman"/>
          <w:b/>
          <w:color w:val="000000"/>
        </w:rPr>
        <w:t>Meander Belt</w:t>
      </w:r>
      <w:r>
        <w:rPr>
          <w:rFonts w:ascii="Calibri" w:eastAsia="Times New Roman" w:hAnsi="Calibri" w:cs="Times New Roman"/>
          <w:b/>
          <w:color w:val="000000"/>
        </w:rPr>
        <w:t xml:space="preserve">s </w:t>
      </w:r>
      <w:r>
        <w:rPr>
          <w:rFonts w:ascii="Calibri" w:eastAsia="Times New Roman" w:hAnsi="Calibri" w:cs="Times New Roman"/>
          <w:color w:val="000000"/>
        </w:rPr>
        <w:t>are</w:t>
      </w:r>
      <w:r w:rsidRPr="00712B09">
        <w:rPr>
          <w:rFonts w:ascii="Calibri" w:eastAsia="Times New Roman" w:hAnsi="Calibri" w:cs="Times New Roman"/>
          <w:color w:val="000000"/>
        </w:rPr>
        <w:t xml:space="preserve"> deep to very deeply incised meander plain</w:t>
      </w:r>
      <w:r>
        <w:rPr>
          <w:rFonts w:ascii="Calibri" w:eastAsia="Times New Roman" w:hAnsi="Calibri" w:cs="Times New Roman"/>
          <w:color w:val="000000"/>
        </w:rPr>
        <w:t>s</w:t>
      </w:r>
      <w:r w:rsidRPr="00712B09">
        <w:rPr>
          <w:rFonts w:ascii="Calibri" w:eastAsia="Times New Roman" w:hAnsi="Calibri" w:cs="Times New Roman"/>
          <w:color w:val="000000"/>
        </w:rPr>
        <w:t xml:space="preserve">; </w:t>
      </w:r>
      <w:r>
        <w:rPr>
          <w:rFonts w:ascii="Calibri" w:eastAsia="Times New Roman" w:hAnsi="Calibri" w:cs="Times New Roman"/>
          <w:color w:val="000000"/>
        </w:rPr>
        <w:t xml:space="preserve">they contains </w:t>
      </w:r>
      <w:r w:rsidRPr="00712B09">
        <w:rPr>
          <w:rFonts w:ascii="Calibri" w:eastAsia="Times New Roman" w:hAnsi="Calibri" w:cs="Times New Roman"/>
          <w:color w:val="000000"/>
        </w:rPr>
        <w:t>similar landforms to a meander</w:t>
      </w:r>
      <w:r>
        <w:rPr>
          <w:rFonts w:ascii="Calibri" w:eastAsia="Times New Roman" w:hAnsi="Calibri" w:cs="Times New Roman"/>
          <w:color w:val="000000"/>
        </w:rPr>
        <w:t>ing river</w:t>
      </w:r>
      <w:r w:rsidRPr="00712B09">
        <w:rPr>
          <w:rFonts w:ascii="Calibri" w:eastAsia="Times New Roman" w:hAnsi="Calibri" w:cs="Times New Roman"/>
          <w:color w:val="000000"/>
        </w:rPr>
        <w:t xml:space="preserve"> except most are greatly exaggerated in relief and</w:t>
      </w:r>
      <w:r>
        <w:rPr>
          <w:rFonts w:ascii="Calibri" w:eastAsia="Times New Roman" w:hAnsi="Calibri" w:cs="Times New Roman"/>
          <w:color w:val="000000"/>
        </w:rPr>
        <w:t xml:space="preserve"> are </w:t>
      </w:r>
      <w:r w:rsidRPr="00712B09">
        <w:rPr>
          <w:rFonts w:ascii="Calibri" w:eastAsia="Times New Roman" w:hAnsi="Calibri" w:cs="Times New Roman"/>
          <w:color w:val="000000"/>
        </w:rPr>
        <w:t>underlain by bedrock.</w:t>
      </w:r>
      <w:r>
        <w:rPr>
          <w:rFonts w:ascii="Calibri" w:eastAsia="Times New Roman" w:hAnsi="Calibri" w:cs="Times New Roman"/>
          <w:color w:val="000000"/>
        </w:rPr>
        <w:t xml:space="preserve"> Meander belts initially developed during previous geologic episodes when streams flowed in a sinuous pattern across a plain. Subsequent geologic uplift of the plain led the river to downcut at a rate similar to the uplift resulting in an incised meander belt.  The current stream channel at the base of the Meander Belt is undersized in relation to the valley form.  During the downcutting process, slopes were scoured, terraces and other stream geomorphic features, now elevated in the landscape, were deposited.  The landscape within the Meander Belt is quite complex, resembling the elements of a current floodplain although they are found high on the valley walls above the current floodplain level. Soils vary from immature Entisols near the present stream to</w:t>
      </w:r>
      <w:r w:rsidR="00BF0510">
        <w:rPr>
          <w:rFonts w:ascii="Calibri" w:eastAsia="Times New Roman" w:hAnsi="Calibri" w:cs="Times New Roman"/>
          <w:color w:val="000000"/>
        </w:rPr>
        <w:t xml:space="preserve"> more</w:t>
      </w:r>
      <w:r>
        <w:rPr>
          <w:rFonts w:ascii="Calibri" w:eastAsia="Times New Roman" w:hAnsi="Calibri" w:cs="Times New Roman"/>
          <w:color w:val="000000"/>
        </w:rPr>
        <w:t xml:space="preserve"> mature </w:t>
      </w:r>
      <w:r w:rsidR="00BF0510">
        <w:rPr>
          <w:rFonts w:ascii="Calibri" w:eastAsia="Times New Roman" w:hAnsi="Calibri" w:cs="Times New Roman"/>
          <w:color w:val="000000"/>
        </w:rPr>
        <w:t>soils</w:t>
      </w:r>
      <w:bookmarkStart w:id="0" w:name="_GoBack"/>
      <w:bookmarkEnd w:id="0"/>
      <w:r>
        <w:rPr>
          <w:rFonts w:ascii="Calibri" w:eastAsia="Times New Roman" w:hAnsi="Calibri" w:cs="Times New Roman"/>
          <w:color w:val="000000"/>
        </w:rPr>
        <w:t xml:space="preserve"> on terraces at higher elevations.</w:t>
      </w:r>
    </w:p>
    <w:p w:rsidR="00716953" w:rsidRDefault="00716953" w:rsidP="00716953">
      <w:pPr>
        <w:spacing w:after="0" w:line="240" w:lineRule="auto"/>
        <w:rPr>
          <w:b/>
          <w:color w:val="000000" w:themeColor="text1"/>
        </w:rPr>
      </w:pPr>
      <w:r w:rsidRPr="0004686B">
        <w:t xml:space="preserve">This Landform Association </w:t>
      </w:r>
      <w:r w:rsidR="006C3C9B">
        <w:t>is rare</w:t>
      </w:r>
      <w:r w:rsidRPr="0004686B">
        <w:t xml:space="preserve"> on National Forest System Lands.</w:t>
      </w:r>
    </w:p>
    <w:p w:rsidR="00716953" w:rsidRDefault="00716953" w:rsidP="00716953">
      <w:pPr>
        <w:spacing w:after="0"/>
      </w:pPr>
      <w:r w:rsidRPr="00DB6508">
        <w:rPr>
          <w:b/>
        </w:rPr>
        <w:lastRenderedPageBreak/>
        <w:t>Landtype Associations:</w:t>
      </w:r>
      <w:r>
        <w:t xml:space="preserve">  Landtype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LfA) in bold in the table below refers to the percent of the Ecoregion represented by that Landform Association.  The (% of LfA) numbers not in bold in the table below refer to the percent of each Landtype Association within the Landform Association. </w:t>
      </w:r>
    </w:p>
    <w:p w:rsidR="00421D7F" w:rsidRDefault="006C3C9B" w:rsidP="000C4947">
      <w:pPr>
        <w:spacing w:after="0"/>
        <w:rPr>
          <w:b/>
        </w:rPr>
      </w:pPr>
      <w:r>
        <w:rPr>
          <w:b/>
          <w:noProof/>
        </w:rPr>
        <w:drawing>
          <wp:inline distT="0" distB="0" distL="0" distR="0">
            <wp:extent cx="5943600" cy="809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62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09625"/>
                    </a:xfrm>
                    <a:prstGeom prst="rect">
                      <a:avLst/>
                    </a:prstGeom>
                  </pic:spPr>
                </pic:pic>
              </a:graphicData>
            </a:graphic>
          </wp:inline>
        </w:drawing>
      </w: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A6126D" w:rsidRDefault="006C3C9B" w:rsidP="00421D7F">
      <w:pPr>
        <w:spacing w:after="0"/>
      </w:pPr>
      <w:r>
        <w:rPr>
          <w:noProof/>
        </w:rPr>
        <w:drawing>
          <wp:inline distT="0" distB="0" distL="0" distR="0">
            <wp:extent cx="5943600" cy="8102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BC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10260"/>
                    </a:xfrm>
                    <a:prstGeom prst="rect">
                      <a:avLst/>
                    </a:prstGeom>
                  </pic:spPr>
                </pic:pic>
              </a:graphicData>
            </a:graphic>
          </wp:inline>
        </w:drawing>
      </w:r>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We obtained modeled actual and potential evapotranspiration datasets from the Numerical Terradynamic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EF3" w:rsidRDefault="00C11EF3" w:rsidP="00474795">
      <w:pPr>
        <w:spacing w:after="0" w:line="240" w:lineRule="auto"/>
      </w:pPr>
      <w:r>
        <w:separator/>
      </w:r>
    </w:p>
  </w:endnote>
  <w:endnote w:type="continuationSeparator" w:id="0">
    <w:p w:rsidR="00C11EF3" w:rsidRDefault="00C11EF3"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EF3" w:rsidRDefault="00C11EF3" w:rsidP="00474795">
      <w:pPr>
        <w:spacing w:after="0" w:line="240" w:lineRule="auto"/>
      </w:pPr>
      <w:r>
        <w:separator/>
      </w:r>
    </w:p>
  </w:footnote>
  <w:footnote w:type="continuationSeparator" w:id="0">
    <w:p w:rsidR="00C11EF3" w:rsidRDefault="00C11EF3"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E3ABC"/>
    <w:rsid w:val="002F6F7B"/>
    <w:rsid w:val="00301E38"/>
    <w:rsid w:val="00305DFB"/>
    <w:rsid w:val="003568B6"/>
    <w:rsid w:val="003B6AB4"/>
    <w:rsid w:val="004122F1"/>
    <w:rsid w:val="00421D7F"/>
    <w:rsid w:val="004248BE"/>
    <w:rsid w:val="004258B8"/>
    <w:rsid w:val="00474795"/>
    <w:rsid w:val="004B121A"/>
    <w:rsid w:val="00532E58"/>
    <w:rsid w:val="00554BFE"/>
    <w:rsid w:val="005806F9"/>
    <w:rsid w:val="00587AFC"/>
    <w:rsid w:val="005B5733"/>
    <w:rsid w:val="005E78B8"/>
    <w:rsid w:val="00617BF2"/>
    <w:rsid w:val="00635C80"/>
    <w:rsid w:val="00666C1B"/>
    <w:rsid w:val="00674994"/>
    <w:rsid w:val="00677F71"/>
    <w:rsid w:val="006C3C9B"/>
    <w:rsid w:val="006C559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A03045"/>
    <w:rsid w:val="00A6126D"/>
    <w:rsid w:val="00AC6399"/>
    <w:rsid w:val="00AE405A"/>
    <w:rsid w:val="00AE7DC0"/>
    <w:rsid w:val="00B22464"/>
    <w:rsid w:val="00B434E0"/>
    <w:rsid w:val="00B62F3C"/>
    <w:rsid w:val="00B7069D"/>
    <w:rsid w:val="00B8025D"/>
    <w:rsid w:val="00B84E6C"/>
    <w:rsid w:val="00BE4CFF"/>
    <w:rsid w:val="00BF0510"/>
    <w:rsid w:val="00C11EF3"/>
    <w:rsid w:val="00C2039D"/>
    <w:rsid w:val="00C24DEA"/>
    <w:rsid w:val="00CA413F"/>
    <w:rsid w:val="00D40AB2"/>
    <w:rsid w:val="00D676D5"/>
    <w:rsid w:val="00D779C4"/>
    <w:rsid w:val="00DB6508"/>
    <w:rsid w:val="00DD0E57"/>
    <w:rsid w:val="00DE2F82"/>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2016-01-18T22:02:00Z</dcterms:created>
  <dcterms:modified xsi:type="dcterms:W3CDTF">2016-01-18T22:06:00Z</dcterms:modified>
</cp:coreProperties>
</file>